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3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B037A5" w:rsidP="00AF08F3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>SERVIZIO DI GESTIONE ESTERNALIZZATA DI CONCORSI PUBBLICI</w:t>
            </w:r>
          </w:p>
        </w:tc>
      </w:tr>
      <w:tr w:rsidR="00B037A5" w:rsidRPr="00353720" w:rsidTr="003E18A1">
        <w:trPr>
          <w:trHeight w:val="416"/>
        </w:trPr>
        <w:tc>
          <w:tcPr>
            <w:tcW w:w="4537" w:type="dxa"/>
            <w:vAlign w:val="center"/>
          </w:tcPr>
          <w:p w:rsidR="00B037A5" w:rsidRPr="00353720" w:rsidRDefault="00B037A5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B037A5" w:rsidRPr="007D4D87" w:rsidRDefault="00B037A5" w:rsidP="00DF6092">
            <w:pPr>
              <w:pStyle w:val="Testonormale1"/>
              <w:spacing w:after="20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Tahoma"/>
                <w:b/>
                <w:lang w:eastAsia="en-US"/>
              </w:rPr>
              <w:t>SERVIZIO DI GESTIONE ESTERNALIZZATA DI CONCORSI PUBBLICI</w:t>
            </w:r>
          </w:p>
        </w:tc>
      </w:tr>
      <w:tr w:rsidR="00B037A5" w:rsidRPr="00353720" w:rsidTr="003E18A1">
        <w:trPr>
          <w:trHeight w:val="989"/>
        </w:trPr>
        <w:tc>
          <w:tcPr>
            <w:tcW w:w="4537" w:type="dxa"/>
            <w:vAlign w:val="center"/>
          </w:tcPr>
          <w:p w:rsidR="00B037A5" w:rsidRPr="00353720" w:rsidRDefault="00B037A5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B037A5" w:rsidRPr="00E30D63" w:rsidRDefault="00B037A5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>
              <w:rPr>
                <w:sz w:val="20"/>
                <w:szCs w:val="20"/>
              </w:rPr>
              <w:t>. 7909858</w:t>
            </w:r>
          </w:p>
        </w:tc>
      </w:tr>
      <w:tr w:rsidR="00B037A5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B037A5" w:rsidRPr="00966C01" w:rsidRDefault="00B037A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B037A5" w:rsidRDefault="00B037A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037A5" w:rsidRPr="00966C01" w:rsidRDefault="00B037A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B037A5" w:rsidRDefault="00B037A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037A5" w:rsidRPr="00353720" w:rsidRDefault="00B037A5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</w:t>
            </w:r>
          </w:p>
        </w:tc>
        <w:tc>
          <w:tcPr>
            <w:tcW w:w="5386" w:type="dxa"/>
            <w:vAlign w:val="center"/>
          </w:tcPr>
          <w:p w:rsidR="00B037A5" w:rsidRPr="00131773" w:rsidRDefault="00B037A5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Unico – </w:t>
            </w:r>
            <w:r w:rsidRPr="00B037A5">
              <w:rPr>
                <w:rFonts w:cs="Arial"/>
                <w:b/>
                <w:sz w:val="20"/>
                <w:szCs w:val="20"/>
              </w:rPr>
              <w:t>8472068BAC</w:t>
            </w:r>
          </w:p>
          <w:p w:rsidR="00B037A5" w:rsidRPr="00131773" w:rsidRDefault="00B037A5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B037A5" w:rsidRPr="00131773" w:rsidRDefault="00B037A5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037A5" w:rsidRPr="00131773" w:rsidRDefault="00B037A5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B037A5" w:rsidRDefault="00B037A5" w:rsidP="003E18A1">
      <w:pPr>
        <w:jc w:val="center"/>
        <w:rPr>
          <w:b/>
          <w:bCs/>
          <w:sz w:val="26"/>
          <w:szCs w:val="26"/>
        </w:rPr>
      </w:pPr>
    </w:p>
    <w:p w:rsidR="00B037A5" w:rsidRDefault="00B037A5" w:rsidP="003E18A1">
      <w:pPr>
        <w:jc w:val="center"/>
        <w:rPr>
          <w:b/>
          <w:bCs/>
          <w:sz w:val="26"/>
          <w:szCs w:val="26"/>
        </w:rPr>
      </w:pPr>
    </w:p>
    <w:p w:rsidR="00B037A5" w:rsidRDefault="00B037A5" w:rsidP="003E18A1">
      <w:pPr>
        <w:jc w:val="center"/>
        <w:rPr>
          <w:b/>
          <w:bCs/>
          <w:sz w:val="26"/>
          <w:szCs w:val="26"/>
        </w:rPr>
      </w:pP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Default="00841681" w:rsidP="00BA660F">
      <w:pPr>
        <w:tabs>
          <w:tab w:val="left" w:pos="2680"/>
        </w:tabs>
        <w:jc w:val="center"/>
        <w:rPr>
          <w:b/>
        </w:rPr>
      </w:pP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lastRenderedPageBreak/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2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0" w:name="_GoBack"/>
      <w:bookmarkEnd w:id="0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34" w:rsidRDefault="00213534" w:rsidP="00556778">
      <w:pPr>
        <w:spacing w:after="0" w:line="240" w:lineRule="auto"/>
      </w:pPr>
      <w:r>
        <w:separator/>
      </w:r>
    </w:p>
  </w:endnote>
  <w:endnote w:type="continuationSeparator" w:id="1">
    <w:p w:rsidR="00213534" w:rsidRDefault="00213534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F8" w:rsidRPr="00654F86" w:rsidRDefault="004307F8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B037A5">
      <w:t>7909858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586A51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586A51" w:rsidRPr="00AC5BE5">
      <w:rPr>
        <w:b/>
        <w:sz w:val="16"/>
        <w:szCs w:val="16"/>
      </w:rPr>
      <w:fldChar w:fldCharType="separate"/>
    </w:r>
    <w:r w:rsidR="00B037A5">
      <w:rPr>
        <w:b/>
        <w:noProof/>
        <w:sz w:val="16"/>
        <w:szCs w:val="16"/>
      </w:rPr>
      <w:t>20</w:t>
    </w:r>
    <w:r w:rsidR="00586A51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586A51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586A51" w:rsidRPr="00AC5BE5">
      <w:rPr>
        <w:b/>
        <w:sz w:val="16"/>
        <w:szCs w:val="16"/>
      </w:rPr>
      <w:fldChar w:fldCharType="separate"/>
    </w:r>
    <w:r w:rsidR="00B037A5">
      <w:rPr>
        <w:b/>
        <w:noProof/>
        <w:sz w:val="16"/>
        <w:szCs w:val="16"/>
      </w:rPr>
      <w:t>20</w:t>
    </w:r>
    <w:r w:rsidR="00586A51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34" w:rsidRDefault="00213534" w:rsidP="00556778">
      <w:pPr>
        <w:spacing w:after="0" w:line="240" w:lineRule="auto"/>
      </w:pPr>
      <w:r>
        <w:separator/>
      </w:r>
    </w:p>
  </w:footnote>
  <w:footnote w:type="continuationSeparator" w:id="1">
    <w:p w:rsidR="00213534" w:rsidRDefault="00213534" w:rsidP="00556778">
      <w:pPr>
        <w:spacing w:after="0" w:line="240" w:lineRule="auto"/>
      </w:pPr>
      <w:r>
        <w:continuationSeparator/>
      </w:r>
    </w:p>
  </w:footnote>
  <w:footnote w:id="2">
    <w:p w:rsidR="004307F8" w:rsidRDefault="004307F8" w:rsidP="00E30D63">
      <w:pPr>
        <w:pStyle w:val="Pidipagina"/>
        <w:jc w:val="both"/>
      </w:pPr>
    </w:p>
  </w:footnote>
  <w:footnote w:id="3">
    <w:p w:rsidR="004307F8" w:rsidRDefault="004307F8" w:rsidP="00F2755F">
      <w:pPr>
        <w:pStyle w:val="Testonotaapidipagina"/>
        <w:ind w:left="142" w:hanging="142"/>
        <w:jc w:val="both"/>
      </w:pPr>
    </w:p>
  </w:footnote>
  <w:footnote w:id="4">
    <w:p w:rsidR="004307F8" w:rsidRDefault="004307F8" w:rsidP="00E30D63">
      <w:pPr>
        <w:pStyle w:val="Testonotaapidipagina"/>
        <w:jc w:val="both"/>
      </w:pPr>
    </w:p>
  </w:footnote>
  <w:footnote w:id="5">
    <w:p w:rsidR="00B037A5" w:rsidRDefault="00B037A5" w:rsidP="00007A3B">
      <w:pPr>
        <w:pStyle w:val="Testonotaapidipagina"/>
      </w:pPr>
    </w:p>
  </w:footnote>
  <w:footnote w:id="6">
    <w:p w:rsidR="00B037A5" w:rsidRDefault="00B037A5" w:rsidP="00F2755F">
      <w:pPr>
        <w:pStyle w:val="Testonotaapidipagina"/>
        <w:ind w:left="142" w:hanging="142"/>
      </w:pPr>
    </w:p>
  </w:footnote>
  <w:footnote w:id="7">
    <w:p w:rsidR="004307F8" w:rsidRDefault="004307F8" w:rsidP="0030685D">
      <w:pPr>
        <w:pStyle w:val="Testonotaapidipagina"/>
        <w:jc w:val="both"/>
      </w:pPr>
    </w:p>
  </w:footnote>
  <w:footnote w:id="8">
    <w:p w:rsidR="004307F8" w:rsidRDefault="004307F8" w:rsidP="00007A3B">
      <w:pPr>
        <w:pStyle w:val="Testonotaapidipagina"/>
        <w:ind w:left="142"/>
        <w:jc w:val="both"/>
      </w:pPr>
    </w:p>
  </w:footnote>
  <w:footnote w:id="9">
    <w:p w:rsidR="004307F8" w:rsidRDefault="004307F8" w:rsidP="00F2755F">
      <w:pPr>
        <w:pStyle w:val="Testonotaapidipagina"/>
        <w:ind w:left="142" w:hanging="142"/>
        <w:jc w:val="both"/>
      </w:pPr>
    </w:p>
  </w:footnote>
  <w:footnote w:id="10">
    <w:p w:rsidR="004307F8" w:rsidRDefault="004307F8" w:rsidP="00F2755F">
      <w:pPr>
        <w:pStyle w:val="Testonotaapidipagina"/>
        <w:ind w:left="142" w:hanging="142"/>
        <w:jc w:val="both"/>
      </w:pPr>
    </w:p>
  </w:footnote>
  <w:footnote w:id="11">
    <w:p w:rsidR="004307F8" w:rsidRDefault="004307F8" w:rsidP="00E84EAE">
      <w:pPr>
        <w:pStyle w:val="Testonotaapidipagina"/>
        <w:jc w:val="both"/>
      </w:pPr>
    </w:p>
  </w:footnote>
  <w:footnote w:id="12">
    <w:p w:rsidR="004307F8" w:rsidRDefault="004307F8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52A1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3534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168F"/>
    <w:rsid w:val="0034749A"/>
    <w:rsid w:val="00350188"/>
    <w:rsid w:val="00353720"/>
    <w:rsid w:val="00366C73"/>
    <w:rsid w:val="00380F3A"/>
    <w:rsid w:val="00383158"/>
    <w:rsid w:val="00385FCC"/>
    <w:rsid w:val="003910DA"/>
    <w:rsid w:val="00391BA1"/>
    <w:rsid w:val="00393FB0"/>
    <w:rsid w:val="00394D54"/>
    <w:rsid w:val="003A1DDC"/>
    <w:rsid w:val="003A3D95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07F8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71E95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86A51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D6942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44793"/>
    <w:rsid w:val="00752055"/>
    <w:rsid w:val="00765F04"/>
    <w:rsid w:val="007667C5"/>
    <w:rsid w:val="00784E44"/>
    <w:rsid w:val="00791F93"/>
    <w:rsid w:val="007A2B4F"/>
    <w:rsid w:val="007A382E"/>
    <w:rsid w:val="007D36CC"/>
    <w:rsid w:val="007D4D87"/>
    <w:rsid w:val="007D69FE"/>
    <w:rsid w:val="007E6B0C"/>
    <w:rsid w:val="007E7AB7"/>
    <w:rsid w:val="007F36C6"/>
    <w:rsid w:val="0080024E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05FB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978F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37A5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E7361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0D63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E0920"/>
    <w:rsid w:val="00EF186D"/>
    <w:rsid w:val="00EF1A8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E601D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D040-5650-4206-98AF-348F308A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7257</Words>
  <Characters>41369</Characters>
  <Application>Microsoft Office Word</Application>
  <DocSecurity>0</DocSecurity>
  <Lines>344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edemaria</cp:lastModifiedBy>
  <cp:revision>19</cp:revision>
  <cp:lastPrinted>2020-01-17T12:04:00Z</cp:lastPrinted>
  <dcterms:created xsi:type="dcterms:W3CDTF">2019-06-20T13:35:00Z</dcterms:created>
  <dcterms:modified xsi:type="dcterms:W3CDTF">2021-02-09T11:08:00Z</dcterms:modified>
</cp:coreProperties>
</file>